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2C" w:rsidRDefault="005B312C" w:rsidP="005B312C">
      <w:pPr>
        <w:pStyle w:val="Heading2"/>
        <w:shd w:val="clear" w:color="auto" w:fill="FFFFFF"/>
        <w:rPr>
          <w:color w:val="783F19"/>
          <w:sz w:val="21"/>
          <w:szCs w:val="21"/>
        </w:rPr>
      </w:pPr>
      <w:r>
        <w:rPr>
          <w:color w:val="783F19"/>
          <w:sz w:val="21"/>
          <w:szCs w:val="21"/>
        </w:rPr>
        <w:t>Introduction</w:t>
      </w:r>
    </w:p>
    <w:p w:rsidR="005B312C" w:rsidRDefault="005B312C" w:rsidP="005B312C">
      <w:pPr>
        <w:pStyle w:val="NormalWeb"/>
        <w:shd w:val="clear" w:color="auto" w:fill="FFFFFF"/>
        <w:spacing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An effective example of the eclecticism of revolutionary symbolism, this poster brings back the image of a heroic St. George slaying the dragon that </w:t>
      </w:r>
      <w:proofErr w:type="gramStart"/>
      <w:r>
        <w:rPr>
          <w:rFonts w:ascii="Verdana" w:hAnsi="Verdana"/>
          <w:color w:val="000000"/>
          <w:sz w:val="18"/>
          <w:szCs w:val="18"/>
        </w:rPr>
        <w:t>was seen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in the first posters depicting Russian entry into the war. In this case, the hero is the Bolshevik leader Trotsky and the dragon a symbol of counter-revolution.</w:t>
      </w:r>
    </w:p>
    <w:p w:rsidR="000D563E" w:rsidRDefault="005B312C" w:rsidP="005B312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975860" cy="5709920"/>
            <wp:effectExtent l="0" t="0" r="0" b="5080"/>
            <wp:docPr id="1" name="Picture 1" descr="http://www.dhr.history.vt.edu/modules/eu/mod03_1917/images/ev_img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hr.history.vt.edu/modules/eu/mod03_1917/images/ev_img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2C"/>
    <w:rsid w:val="0043092B"/>
    <w:rsid w:val="005A1BA7"/>
    <w:rsid w:val="005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D4146-0959-43EB-864E-98B1AD92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3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31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Guilford County Schools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Kiste, Andrew</dc:creator>
  <cp:keywords/>
  <dc:description/>
  <cp:lastModifiedBy>Kiste, Andrew</cp:lastModifiedBy>
  <cp:revision>1</cp:revision>
  <dcterms:created xsi:type="dcterms:W3CDTF">2017-02-28T18:58:00Z</dcterms:created>
  <dcterms:modified xsi:type="dcterms:W3CDTF">2017-02-28T18:59:00Z</dcterms:modified>
</cp:coreProperties>
</file>